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F886" w14:textId="77777777" w:rsidR="00B051DA" w:rsidRPr="00C16B37" w:rsidRDefault="00B051DA" w:rsidP="00B051DA">
      <w:pPr>
        <w:ind w:right="90"/>
        <w:rPr>
          <w:rFonts w:ascii="Garamond" w:hAnsi="Garamond"/>
        </w:rPr>
      </w:pPr>
      <w:r w:rsidRPr="00187190">
        <w:rPr>
          <w:rFonts w:ascii="Garamond" w:hAnsi="Garamond"/>
          <w:u w:val="single"/>
        </w:rPr>
        <w:t>Pardon the Interruption</w:t>
      </w:r>
      <w:r>
        <w:rPr>
          <w:rFonts w:ascii="Garamond" w:hAnsi="Garamond"/>
          <w:u w:val="single"/>
        </w:rPr>
        <w:t xml:space="preserve"> – AP World Edition</w:t>
      </w:r>
      <w:r w:rsidRPr="00C16B37">
        <w:rPr>
          <w:rFonts w:ascii="Garamond" w:hAnsi="Garamond"/>
        </w:rPr>
        <w:t xml:space="preserve"> </w:t>
      </w:r>
    </w:p>
    <w:p w14:paraId="553A1115" w14:textId="77777777" w:rsidR="00B051DA" w:rsidRPr="00C16B37" w:rsidRDefault="00B051DA" w:rsidP="00B051DA">
      <w:pPr>
        <w:numPr>
          <w:ilvl w:val="0"/>
          <w:numId w:val="1"/>
        </w:numPr>
        <w:shd w:val="clear" w:color="auto" w:fill="FFFFFF"/>
        <w:spacing w:before="100" w:beforeAutospacing="1" w:after="100" w:afterAutospacing="1"/>
        <w:ind w:right="90"/>
        <w:rPr>
          <w:rFonts w:ascii="Garamond" w:hAnsi="Garamond"/>
        </w:rPr>
      </w:pPr>
      <w:r w:rsidRPr="00C16B37">
        <w:rPr>
          <w:rFonts w:ascii="Garamond" w:hAnsi="Garamond"/>
          <w:i/>
          <w:iCs/>
        </w:rPr>
        <w:t>Washington Post</w:t>
      </w:r>
      <w:r w:rsidRPr="00C16B37">
        <w:rPr>
          <w:rFonts w:ascii="Garamond" w:hAnsi="Garamond"/>
        </w:rPr>
        <w:t xml:space="preserve"> columnists </w:t>
      </w:r>
      <w:r w:rsidRPr="00C16B37">
        <w:rPr>
          <w:rFonts w:ascii="Garamond" w:hAnsi="Garamond"/>
          <w:b/>
          <w:bCs/>
        </w:rPr>
        <w:t xml:space="preserve">Tony </w:t>
      </w:r>
      <w:proofErr w:type="spellStart"/>
      <w:r w:rsidRPr="00C16B37">
        <w:rPr>
          <w:rFonts w:ascii="Garamond" w:hAnsi="Garamond"/>
          <w:b/>
          <w:bCs/>
        </w:rPr>
        <w:t>Kornheiser</w:t>
      </w:r>
      <w:proofErr w:type="spellEnd"/>
      <w:r w:rsidRPr="00C16B37">
        <w:rPr>
          <w:rFonts w:ascii="Garamond" w:hAnsi="Garamond"/>
        </w:rPr>
        <w:t xml:space="preserve"> and </w:t>
      </w:r>
      <w:r w:rsidRPr="00C16B37">
        <w:rPr>
          <w:rFonts w:ascii="Garamond" w:hAnsi="Garamond"/>
          <w:b/>
          <w:bCs/>
        </w:rPr>
        <w:t xml:space="preserve">Mike </w:t>
      </w:r>
      <w:proofErr w:type="spellStart"/>
      <w:r w:rsidRPr="00C16B37">
        <w:rPr>
          <w:rFonts w:ascii="Garamond" w:hAnsi="Garamond"/>
          <w:b/>
          <w:bCs/>
        </w:rPr>
        <w:t>Wilbon</w:t>
      </w:r>
      <w:proofErr w:type="spellEnd"/>
      <w:r w:rsidRPr="00C16B37">
        <w:rPr>
          <w:rFonts w:ascii="Garamond" w:hAnsi="Garamond"/>
        </w:rPr>
        <w:t xml:space="preserve"> face-off during this half-hour debate devoted exclusively to sports opinions and headlines. </w:t>
      </w:r>
    </w:p>
    <w:p w14:paraId="2FAE3BC1" w14:textId="77777777" w:rsidR="00B051DA" w:rsidRPr="00C16B37" w:rsidRDefault="00B051DA" w:rsidP="00B051DA">
      <w:pPr>
        <w:numPr>
          <w:ilvl w:val="0"/>
          <w:numId w:val="1"/>
        </w:numPr>
        <w:shd w:val="clear" w:color="auto" w:fill="FFFFFF"/>
        <w:spacing w:before="100" w:beforeAutospacing="1" w:after="100" w:afterAutospacing="1"/>
        <w:ind w:right="90"/>
        <w:rPr>
          <w:rFonts w:ascii="Garamond" w:hAnsi="Garamond"/>
        </w:rPr>
      </w:pPr>
      <w:r w:rsidRPr="00C16B37">
        <w:rPr>
          <w:rFonts w:ascii="Garamond" w:hAnsi="Garamond"/>
        </w:rPr>
        <w:t xml:space="preserve">Time is always ticking away as </w:t>
      </w:r>
      <w:proofErr w:type="spellStart"/>
      <w:r w:rsidRPr="00C16B37">
        <w:rPr>
          <w:rFonts w:ascii="Garamond" w:hAnsi="Garamond"/>
        </w:rPr>
        <w:t>Kornheiser</w:t>
      </w:r>
      <w:proofErr w:type="spellEnd"/>
      <w:r w:rsidRPr="00C16B37">
        <w:rPr>
          <w:rFonts w:ascii="Garamond" w:hAnsi="Garamond"/>
        </w:rPr>
        <w:t xml:space="preserve"> and </w:t>
      </w:r>
      <w:proofErr w:type="spellStart"/>
      <w:r w:rsidRPr="00C16B37">
        <w:rPr>
          <w:rFonts w:ascii="Garamond" w:hAnsi="Garamond"/>
        </w:rPr>
        <w:t>Wilbon</w:t>
      </w:r>
      <w:proofErr w:type="spellEnd"/>
      <w:r w:rsidRPr="00C16B37">
        <w:rPr>
          <w:rFonts w:ascii="Garamond" w:hAnsi="Garamond"/>
        </w:rPr>
        <w:t xml:space="preserve"> haggle their way through an on-screen ticker of sports topics. Two minutes per argument and rebuttal makes for a fast-paced and quick-witted show delivering candid insight. </w:t>
      </w:r>
    </w:p>
    <w:p w14:paraId="4A372EE2" w14:textId="77777777" w:rsidR="00B051DA" w:rsidRPr="00C16B37" w:rsidRDefault="00B051DA" w:rsidP="00B051DA">
      <w:pPr>
        <w:numPr>
          <w:ilvl w:val="0"/>
          <w:numId w:val="1"/>
        </w:numPr>
        <w:shd w:val="clear" w:color="auto" w:fill="FFFFFF"/>
        <w:spacing w:before="100" w:beforeAutospacing="1" w:after="100" w:afterAutospacing="1"/>
        <w:ind w:right="90"/>
        <w:rPr>
          <w:rFonts w:ascii="Garamond" w:hAnsi="Garamond"/>
        </w:rPr>
      </w:pPr>
      <w:r w:rsidRPr="00C16B37">
        <w:rPr>
          <w:rFonts w:ascii="Garamond" w:hAnsi="Garamond"/>
        </w:rPr>
        <w:t xml:space="preserve">In every episode of the critically acclaimed show, the pair also </w:t>
      </w:r>
      <w:proofErr w:type="gramStart"/>
      <w:r w:rsidRPr="00C16B37">
        <w:rPr>
          <w:rFonts w:ascii="Garamond" w:hAnsi="Garamond"/>
        </w:rPr>
        <w:t>interview</w:t>
      </w:r>
      <w:proofErr w:type="gramEnd"/>
      <w:r w:rsidRPr="00C16B37">
        <w:rPr>
          <w:rFonts w:ascii="Garamond" w:hAnsi="Garamond"/>
        </w:rPr>
        <w:t xml:space="preserve"> a sports newsmaker. Then, before they sign off, PTI researcher and Around the Horn host </w:t>
      </w:r>
      <w:r w:rsidRPr="00C16B37">
        <w:rPr>
          <w:rFonts w:ascii="Garamond" w:hAnsi="Garamond"/>
          <w:b/>
          <w:bCs/>
        </w:rPr>
        <w:t xml:space="preserve">Tony </w:t>
      </w:r>
      <w:proofErr w:type="spellStart"/>
      <w:r w:rsidRPr="00C16B37">
        <w:rPr>
          <w:rFonts w:ascii="Garamond" w:hAnsi="Garamond"/>
          <w:b/>
          <w:bCs/>
        </w:rPr>
        <w:t>Reali</w:t>
      </w:r>
      <w:proofErr w:type="spellEnd"/>
      <w:r w:rsidRPr="00C16B37">
        <w:rPr>
          <w:rFonts w:ascii="Garamond" w:hAnsi="Garamond"/>
        </w:rPr>
        <w:t xml:space="preserve"> corrects any statistical fouls </w:t>
      </w:r>
      <w:proofErr w:type="spellStart"/>
      <w:r w:rsidRPr="00C16B37">
        <w:rPr>
          <w:rFonts w:ascii="Garamond" w:hAnsi="Garamond"/>
        </w:rPr>
        <w:t>Kornheiser</w:t>
      </w:r>
      <w:proofErr w:type="spellEnd"/>
      <w:r w:rsidRPr="00C16B37">
        <w:rPr>
          <w:rFonts w:ascii="Garamond" w:hAnsi="Garamond"/>
        </w:rPr>
        <w:t xml:space="preserve"> and </w:t>
      </w:r>
      <w:proofErr w:type="spellStart"/>
      <w:r w:rsidRPr="00C16B37">
        <w:rPr>
          <w:rFonts w:ascii="Garamond" w:hAnsi="Garamond"/>
        </w:rPr>
        <w:t>Wilbon</w:t>
      </w:r>
      <w:proofErr w:type="spellEnd"/>
      <w:r w:rsidRPr="00C16B37">
        <w:rPr>
          <w:rFonts w:ascii="Garamond" w:hAnsi="Garamond"/>
        </w:rPr>
        <w:t xml:space="preserve"> made in the heat of battle. </w:t>
      </w:r>
    </w:p>
    <w:p w14:paraId="420E70CA" w14:textId="77777777" w:rsidR="00B051DA" w:rsidRDefault="00B051DA" w:rsidP="00B051DA">
      <w:pPr>
        <w:ind w:right="90"/>
        <w:rPr>
          <w:rFonts w:ascii="Garamond" w:hAnsi="Garamond" w:cs="Courier New"/>
        </w:rPr>
      </w:pPr>
      <w:r>
        <w:rPr>
          <w:rFonts w:ascii="Garamond" w:hAnsi="Garamond" w:cs="Courier New"/>
        </w:rPr>
        <w:t>Tony and Mike are bored with sports. They want something fresh, something new. As a young intern, you want to ge</w:t>
      </w:r>
      <w:r w:rsidR="00A3456B">
        <w:rPr>
          <w:rFonts w:ascii="Garamond" w:hAnsi="Garamond" w:cs="Courier New"/>
        </w:rPr>
        <w:t xml:space="preserve">t a full time job with ESPN; </w:t>
      </w:r>
      <w:r>
        <w:rPr>
          <w:rFonts w:ascii="Garamond" w:hAnsi="Garamond" w:cs="Courier New"/>
        </w:rPr>
        <w:t xml:space="preserve">you decide to pitch a Pardon the Interruption show that uses history as the basis. Since many brains are better than one, you recruit your friends to help you put together your sample show. Each group will be given a period of history to use for inspiration – topics discussed can run from historical characters, empires, wars, cities, building projects, etc. You must have pictures to run with each topic choice (just like the show). In front of the review board you will then run through your show. </w:t>
      </w:r>
      <w:r w:rsidR="00A3456B">
        <w:rPr>
          <w:rFonts w:ascii="Garamond" w:hAnsi="Garamond" w:cs="Courier New"/>
        </w:rPr>
        <w:t xml:space="preserve">Remember, one of you will be the expert fact checker – ready to correct the misconceptions. </w:t>
      </w:r>
      <w:r>
        <w:rPr>
          <w:rFonts w:ascii="Garamond" w:hAnsi="Garamond" w:cs="Courier New"/>
        </w:rPr>
        <w:t>Your show should be no more than 30 minutes in total</w:t>
      </w:r>
      <w:r w:rsidR="00A3456B">
        <w:rPr>
          <w:rFonts w:ascii="Garamond" w:hAnsi="Garamond" w:cs="Courier New"/>
        </w:rPr>
        <w:t>, nor can you have more than three</w:t>
      </w:r>
      <w:r>
        <w:rPr>
          <w:rFonts w:ascii="Garamond" w:hAnsi="Garamond" w:cs="Courier New"/>
        </w:rPr>
        <w:t xml:space="preserve"> friends to help you. </w:t>
      </w:r>
      <w:r w:rsidR="0041301B">
        <w:rPr>
          <w:rFonts w:ascii="Garamond" w:hAnsi="Garamond" w:cs="Courier New"/>
        </w:rPr>
        <w:t xml:space="preserve">Remember to include a commercial break for the fact checker to use to get ready! </w:t>
      </w:r>
      <w:r>
        <w:rPr>
          <w:rFonts w:ascii="Garamond" w:hAnsi="Garamond" w:cs="Courier New"/>
        </w:rPr>
        <w:t>Dates are based on period and are posted below:</w:t>
      </w:r>
    </w:p>
    <w:p w14:paraId="3F09C34F" w14:textId="77777777" w:rsidR="00B051DA" w:rsidRDefault="00B051DA" w:rsidP="00B051DA">
      <w:pPr>
        <w:ind w:right="90"/>
        <w:rPr>
          <w:rFonts w:ascii="Garamond" w:hAnsi="Garamond" w:cs="Courier New"/>
        </w:rPr>
      </w:pPr>
    </w:p>
    <w:p w14:paraId="749683F0" w14:textId="77777777" w:rsidR="0041301B" w:rsidRDefault="0041301B" w:rsidP="00B051DA">
      <w:pPr>
        <w:ind w:right="90"/>
        <w:rPr>
          <w:rFonts w:ascii="Garamond" w:hAnsi="Garamond" w:cs="Courier New"/>
        </w:rPr>
        <w:sectPr w:rsidR="0041301B">
          <w:pgSz w:w="12240" w:h="15840"/>
          <w:pgMar w:top="1440" w:right="1440" w:bottom="1440" w:left="1440" w:header="720" w:footer="720" w:gutter="0"/>
          <w:cols w:space="720"/>
          <w:docGrid w:linePitch="360"/>
        </w:sectPr>
      </w:pPr>
    </w:p>
    <w:p w14:paraId="4D509103" w14:textId="77777777" w:rsidR="00B051DA" w:rsidRDefault="00B051DA" w:rsidP="00B051DA">
      <w:pPr>
        <w:ind w:right="90"/>
        <w:rPr>
          <w:rFonts w:ascii="Garamond" w:hAnsi="Garamond" w:cs="Courier New"/>
        </w:rPr>
      </w:pPr>
      <w:r>
        <w:rPr>
          <w:rFonts w:ascii="Garamond" w:hAnsi="Garamond" w:cs="Courier New"/>
        </w:rPr>
        <w:lastRenderedPageBreak/>
        <w:t>Period 1 – April 30</w:t>
      </w:r>
    </w:p>
    <w:p w14:paraId="26D7FFA0" w14:textId="77777777" w:rsidR="00B051DA" w:rsidRDefault="00B051DA" w:rsidP="00B051DA">
      <w:pPr>
        <w:ind w:right="90"/>
        <w:rPr>
          <w:rFonts w:ascii="Garamond" w:hAnsi="Garamond" w:cs="Courier New"/>
        </w:rPr>
      </w:pPr>
      <w:r>
        <w:rPr>
          <w:rFonts w:ascii="Garamond" w:hAnsi="Garamond" w:cs="Courier New"/>
        </w:rPr>
        <w:t>Period 2 – May 2</w:t>
      </w:r>
    </w:p>
    <w:p w14:paraId="4776674E" w14:textId="77777777" w:rsidR="00B051DA" w:rsidRDefault="00B051DA" w:rsidP="00B051DA">
      <w:pPr>
        <w:ind w:right="90"/>
        <w:rPr>
          <w:rFonts w:ascii="Garamond" w:hAnsi="Garamond" w:cs="Courier New"/>
        </w:rPr>
      </w:pPr>
      <w:r>
        <w:rPr>
          <w:rFonts w:ascii="Garamond" w:hAnsi="Garamond" w:cs="Courier New"/>
        </w:rPr>
        <w:t>Period 3 – May 6</w:t>
      </w:r>
    </w:p>
    <w:p w14:paraId="2465EE6F" w14:textId="77777777" w:rsidR="00B051DA" w:rsidRDefault="00B051DA" w:rsidP="00B051DA">
      <w:pPr>
        <w:ind w:right="90"/>
        <w:rPr>
          <w:rFonts w:ascii="Garamond" w:hAnsi="Garamond" w:cs="Courier New"/>
        </w:rPr>
      </w:pPr>
      <w:r>
        <w:rPr>
          <w:rFonts w:ascii="Garamond" w:hAnsi="Garamond" w:cs="Courier New"/>
        </w:rPr>
        <w:lastRenderedPageBreak/>
        <w:t>Period 4 – May 8</w:t>
      </w:r>
    </w:p>
    <w:p w14:paraId="7578DCA8" w14:textId="77777777" w:rsidR="00B051DA" w:rsidRDefault="00B051DA" w:rsidP="00B051DA">
      <w:pPr>
        <w:ind w:right="90"/>
        <w:rPr>
          <w:rFonts w:ascii="Garamond" w:hAnsi="Garamond" w:cs="Courier New"/>
        </w:rPr>
      </w:pPr>
      <w:r>
        <w:rPr>
          <w:rFonts w:ascii="Garamond" w:hAnsi="Garamond" w:cs="Courier New"/>
        </w:rPr>
        <w:t>Period 5 – May 10</w:t>
      </w:r>
    </w:p>
    <w:p w14:paraId="38B60C0C" w14:textId="77777777" w:rsidR="00B051DA" w:rsidRDefault="00B051DA" w:rsidP="00B051DA">
      <w:pPr>
        <w:ind w:right="90"/>
        <w:rPr>
          <w:rFonts w:ascii="Garamond" w:hAnsi="Garamond" w:cs="Courier New"/>
        </w:rPr>
      </w:pPr>
      <w:r>
        <w:rPr>
          <w:rFonts w:ascii="Garamond" w:hAnsi="Garamond" w:cs="Courier New"/>
        </w:rPr>
        <w:t>Period 6 – May 14</w:t>
      </w:r>
    </w:p>
    <w:p w14:paraId="3AF8FB4E" w14:textId="77777777" w:rsidR="0041301B" w:rsidRDefault="0041301B" w:rsidP="00B051DA">
      <w:pPr>
        <w:ind w:right="90"/>
        <w:rPr>
          <w:rFonts w:ascii="Garamond" w:hAnsi="Garamond" w:cs="Courier New"/>
        </w:rPr>
        <w:sectPr w:rsidR="0041301B" w:rsidSect="0041301B">
          <w:type w:val="continuous"/>
          <w:pgSz w:w="12240" w:h="15840"/>
          <w:pgMar w:top="1440" w:right="1440" w:bottom="1440" w:left="1440" w:header="720" w:footer="720" w:gutter="0"/>
          <w:cols w:num="2" w:space="720"/>
          <w:docGrid w:linePitch="360"/>
        </w:sectPr>
      </w:pPr>
    </w:p>
    <w:p w14:paraId="7CCDBC18" w14:textId="77777777" w:rsidR="00B051DA" w:rsidRDefault="00B051DA" w:rsidP="00B051DA">
      <w:pPr>
        <w:ind w:right="90"/>
        <w:rPr>
          <w:rFonts w:ascii="Garamond" w:hAnsi="Garamond" w:cs="Courier New"/>
        </w:rPr>
      </w:pPr>
    </w:p>
    <w:tbl>
      <w:tblPr>
        <w:tblStyle w:val="TableGrid"/>
        <w:tblW w:w="0" w:type="auto"/>
        <w:tblLook w:val="04A0" w:firstRow="1" w:lastRow="0" w:firstColumn="1" w:lastColumn="0" w:noHBand="0" w:noVBand="1"/>
      </w:tblPr>
      <w:tblGrid>
        <w:gridCol w:w="1915"/>
        <w:gridCol w:w="1915"/>
        <w:gridCol w:w="2038"/>
        <w:gridCol w:w="1792"/>
        <w:gridCol w:w="1916"/>
      </w:tblGrid>
      <w:tr w:rsidR="004D6E30" w14:paraId="5CD61B3C" w14:textId="77777777" w:rsidTr="004D6E30">
        <w:tc>
          <w:tcPr>
            <w:tcW w:w="1915" w:type="dxa"/>
          </w:tcPr>
          <w:p w14:paraId="7BB5DFF9" w14:textId="77777777" w:rsidR="004D6E30" w:rsidRDefault="004D6E30" w:rsidP="00B051DA">
            <w:pPr>
              <w:ind w:right="90"/>
              <w:rPr>
                <w:rFonts w:ascii="Garamond" w:hAnsi="Garamond" w:cs="Courier New"/>
              </w:rPr>
            </w:pPr>
          </w:p>
        </w:tc>
        <w:tc>
          <w:tcPr>
            <w:tcW w:w="1915" w:type="dxa"/>
          </w:tcPr>
          <w:p w14:paraId="0B5E4C05" w14:textId="77777777" w:rsidR="004D6E30" w:rsidRDefault="004D6E30" w:rsidP="00B051DA">
            <w:pPr>
              <w:ind w:right="90"/>
              <w:rPr>
                <w:rFonts w:ascii="Garamond" w:hAnsi="Garamond" w:cs="Courier New"/>
              </w:rPr>
            </w:pPr>
            <w:r>
              <w:rPr>
                <w:rFonts w:ascii="Garamond" w:hAnsi="Garamond" w:cs="Courier New"/>
              </w:rPr>
              <w:t>4 Excellent</w:t>
            </w:r>
          </w:p>
        </w:tc>
        <w:tc>
          <w:tcPr>
            <w:tcW w:w="2038" w:type="dxa"/>
          </w:tcPr>
          <w:p w14:paraId="3B971955" w14:textId="77777777" w:rsidR="004D6E30" w:rsidRDefault="004D6E30" w:rsidP="00B051DA">
            <w:pPr>
              <w:ind w:right="90"/>
              <w:rPr>
                <w:rFonts w:ascii="Garamond" w:hAnsi="Garamond" w:cs="Courier New"/>
              </w:rPr>
            </w:pPr>
            <w:r>
              <w:rPr>
                <w:rFonts w:ascii="Garamond" w:hAnsi="Garamond" w:cs="Courier New"/>
              </w:rPr>
              <w:t>3 Above Average</w:t>
            </w:r>
          </w:p>
        </w:tc>
        <w:tc>
          <w:tcPr>
            <w:tcW w:w="1792" w:type="dxa"/>
          </w:tcPr>
          <w:p w14:paraId="2EB3B097" w14:textId="77777777" w:rsidR="004D6E30" w:rsidRDefault="004D6E30" w:rsidP="00B051DA">
            <w:pPr>
              <w:ind w:right="90"/>
              <w:rPr>
                <w:rFonts w:ascii="Garamond" w:hAnsi="Garamond" w:cs="Courier New"/>
              </w:rPr>
            </w:pPr>
            <w:r>
              <w:rPr>
                <w:rFonts w:ascii="Garamond" w:hAnsi="Garamond" w:cs="Courier New"/>
              </w:rPr>
              <w:t>2 Average</w:t>
            </w:r>
          </w:p>
        </w:tc>
        <w:tc>
          <w:tcPr>
            <w:tcW w:w="1916" w:type="dxa"/>
          </w:tcPr>
          <w:p w14:paraId="3E8A5B1C" w14:textId="77777777" w:rsidR="004D6E30" w:rsidRDefault="004D6E30" w:rsidP="00B051DA">
            <w:pPr>
              <w:ind w:right="90"/>
              <w:rPr>
                <w:rFonts w:ascii="Garamond" w:hAnsi="Garamond" w:cs="Courier New"/>
              </w:rPr>
            </w:pPr>
            <w:r>
              <w:rPr>
                <w:rFonts w:ascii="Garamond" w:hAnsi="Garamond" w:cs="Courier New"/>
              </w:rPr>
              <w:t>1-0 unacceptable</w:t>
            </w:r>
          </w:p>
        </w:tc>
      </w:tr>
      <w:tr w:rsidR="004D6E30" w14:paraId="107B5C01" w14:textId="77777777" w:rsidTr="004D6E30">
        <w:trPr>
          <w:trHeight w:val="872"/>
        </w:trPr>
        <w:tc>
          <w:tcPr>
            <w:tcW w:w="1915" w:type="dxa"/>
          </w:tcPr>
          <w:p w14:paraId="1CDFB360" w14:textId="77777777" w:rsidR="004D6E30" w:rsidRDefault="00A3456B" w:rsidP="00B051DA">
            <w:pPr>
              <w:ind w:right="90"/>
              <w:rPr>
                <w:rFonts w:ascii="Garamond" w:hAnsi="Garamond" w:cs="Courier New"/>
              </w:rPr>
            </w:pPr>
            <w:r>
              <w:rPr>
                <w:rFonts w:ascii="Garamond" w:hAnsi="Garamond" w:cs="Courier New"/>
              </w:rPr>
              <w:t>Review of period</w:t>
            </w:r>
          </w:p>
        </w:tc>
        <w:tc>
          <w:tcPr>
            <w:tcW w:w="1915" w:type="dxa"/>
          </w:tcPr>
          <w:p w14:paraId="4CF136E7" w14:textId="77777777" w:rsidR="004D6E30" w:rsidRDefault="00A3456B" w:rsidP="00B051DA">
            <w:pPr>
              <w:ind w:right="90"/>
              <w:rPr>
                <w:rFonts w:ascii="Garamond" w:hAnsi="Garamond" w:cs="Courier New"/>
              </w:rPr>
            </w:pPr>
            <w:r>
              <w:rPr>
                <w:rFonts w:ascii="Garamond" w:hAnsi="Garamond" w:cs="Courier New"/>
              </w:rPr>
              <w:t xml:space="preserve">A through review that include </w:t>
            </w:r>
            <w:proofErr w:type="gramStart"/>
            <w:r>
              <w:rPr>
                <w:rFonts w:ascii="Garamond" w:hAnsi="Garamond" w:cs="Courier New"/>
              </w:rPr>
              <w:t>all important</w:t>
            </w:r>
            <w:proofErr w:type="gramEnd"/>
            <w:r>
              <w:rPr>
                <w:rFonts w:ascii="Garamond" w:hAnsi="Garamond" w:cs="Courier New"/>
              </w:rPr>
              <w:t xml:space="preserve"> moments in the period.</w:t>
            </w:r>
          </w:p>
        </w:tc>
        <w:tc>
          <w:tcPr>
            <w:tcW w:w="2038" w:type="dxa"/>
          </w:tcPr>
          <w:p w14:paraId="5CD40B44" w14:textId="77777777" w:rsidR="004D6E30" w:rsidRDefault="0041301B" w:rsidP="00B051DA">
            <w:pPr>
              <w:ind w:right="90"/>
              <w:rPr>
                <w:rFonts w:ascii="Garamond" w:hAnsi="Garamond" w:cs="Courier New"/>
              </w:rPr>
            </w:pPr>
            <w:r>
              <w:rPr>
                <w:rFonts w:ascii="Garamond" w:hAnsi="Garamond" w:cs="Courier New"/>
              </w:rPr>
              <w:t>A few really important events missed, but overall a pretty good job.</w:t>
            </w:r>
          </w:p>
        </w:tc>
        <w:tc>
          <w:tcPr>
            <w:tcW w:w="1792" w:type="dxa"/>
          </w:tcPr>
          <w:p w14:paraId="4DC11741" w14:textId="77777777" w:rsidR="004D6E30" w:rsidRDefault="0041301B" w:rsidP="00B051DA">
            <w:pPr>
              <w:ind w:right="90"/>
              <w:rPr>
                <w:rFonts w:ascii="Garamond" w:hAnsi="Garamond" w:cs="Courier New"/>
              </w:rPr>
            </w:pPr>
            <w:r>
              <w:rPr>
                <w:rFonts w:ascii="Garamond" w:hAnsi="Garamond" w:cs="Courier New"/>
              </w:rPr>
              <w:t>Noticeable important events missing from the dialogue.</w:t>
            </w:r>
          </w:p>
        </w:tc>
        <w:tc>
          <w:tcPr>
            <w:tcW w:w="1916" w:type="dxa"/>
          </w:tcPr>
          <w:p w14:paraId="03A5F381" w14:textId="77777777" w:rsidR="004D6E30" w:rsidRDefault="0041301B" w:rsidP="00B051DA">
            <w:pPr>
              <w:ind w:right="90"/>
              <w:rPr>
                <w:rFonts w:ascii="Garamond" w:hAnsi="Garamond" w:cs="Courier New"/>
              </w:rPr>
            </w:pPr>
            <w:r>
              <w:rPr>
                <w:rFonts w:ascii="Garamond" w:hAnsi="Garamond" w:cs="Courier New"/>
              </w:rPr>
              <w:t>No presentation ready, or so short nothing was accomplished</w:t>
            </w:r>
          </w:p>
        </w:tc>
      </w:tr>
      <w:tr w:rsidR="004D6E30" w14:paraId="46F38E08" w14:textId="77777777" w:rsidTr="004D6E30">
        <w:trPr>
          <w:trHeight w:val="1070"/>
        </w:trPr>
        <w:tc>
          <w:tcPr>
            <w:tcW w:w="1915" w:type="dxa"/>
          </w:tcPr>
          <w:p w14:paraId="6785586B" w14:textId="77777777" w:rsidR="004D6E30" w:rsidRDefault="00A3456B" w:rsidP="00B051DA">
            <w:pPr>
              <w:ind w:right="90"/>
              <w:rPr>
                <w:rFonts w:ascii="Garamond" w:hAnsi="Garamond" w:cs="Courier New"/>
              </w:rPr>
            </w:pPr>
            <w:r>
              <w:rPr>
                <w:rFonts w:ascii="Garamond" w:hAnsi="Garamond" w:cs="Courier New"/>
              </w:rPr>
              <w:t>Presentation</w:t>
            </w:r>
          </w:p>
        </w:tc>
        <w:tc>
          <w:tcPr>
            <w:tcW w:w="1915" w:type="dxa"/>
          </w:tcPr>
          <w:p w14:paraId="019DFAB5" w14:textId="77777777" w:rsidR="004D6E30" w:rsidRDefault="00A3456B" w:rsidP="00B051DA">
            <w:pPr>
              <w:ind w:right="90"/>
              <w:rPr>
                <w:rFonts w:ascii="Garamond" w:hAnsi="Garamond" w:cs="Courier New"/>
              </w:rPr>
            </w:pPr>
            <w:r>
              <w:rPr>
                <w:rFonts w:ascii="Garamond" w:hAnsi="Garamond" w:cs="Courier New"/>
              </w:rPr>
              <w:t>Students were respectful, had fun and the fact checker was able to easily clarify any mistakes.</w:t>
            </w:r>
          </w:p>
        </w:tc>
        <w:tc>
          <w:tcPr>
            <w:tcW w:w="2038" w:type="dxa"/>
          </w:tcPr>
          <w:p w14:paraId="24A7B292" w14:textId="77777777" w:rsidR="004D6E30" w:rsidRDefault="00A3456B" w:rsidP="00B051DA">
            <w:pPr>
              <w:ind w:right="90"/>
              <w:rPr>
                <w:rFonts w:ascii="Garamond" w:hAnsi="Garamond" w:cs="Courier New"/>
              </w:rPr>
            </w:pPr>
            <w:r>
              <w:rPr>
                <w:rFonts w:ascii="Garamond" w:hAnsi="Garamond" w:cs="Courier New"/>
              </w:rPr>
              <w:t>Students were not very polished but still got the points across. Fact checker spent almost 5 minutes correcting mistakes.</w:t>
            </w:r>
          </w:p>
        </w:tc>
        <w:tc>
          <w:tcPr>
            <w:tcW w:w="1792" w:type="dxa"/>
          </w:tcPr>
          <w:p w14:paraId="507A4316" w14:textId="77777777" w:rsidR="004D6E30" w:rsidRDefault="00A3456B" w:rsidP="00B051DA">
            <w:pPr>
              <w:ind w:right="90"/>
              <w:rPr>
                <w:rFonts w:ascii="Garamond" w:hAnsi="Garamond" w:cs="Courier New"/>
              </w:rPr>
            </w:pPr>
            <w:r>
              <w:rPr>
                <w:rFonts w:ascii="Garamond" w:hAnsi="Garamond" w:cs="Courier New"/>
              </w:rPr>
              <w:t>Students were so vague and unsure that it wasn’t fun for anyone, plus the fact checker was overwhelmed</w:t>
            </w:r>
          </w:p>
        </w:tc>
        <w:tc>
          <w:tcPr>
            <w:tcW w:w="1916" w:type="dxa"/>
          </w:tcPr>
          <w:p w14:paraId="7D6C833C" w14:textId="77777777" w:rsidR="004D6E30" w:rsidRDefault="00A3456B" w:rsidP="00B051DA">
            <w:pPr>
              <w:ind w:right="90"/>
              <w:rPr>
                <w:rFonts w:ascii="Garamond" w:hAnsi="Garamond" w:cs="Courier New"/>
              </w:rPr>
            </w:pPr>
            <w:r>
              <w:rPr>
                <w:rFonts w:ascii="Garamond" w:hAnsi="Garamond" w:cs="Courier New"/>
              </w:rPr>
              <w:t>Students didn’t do the presentation, or didn’t seem ready to present. The fact checker was the show, or didn’t have anything to do.</w:t>
            </w:r>
          </w:p>
        </w:tc>
      </w:tr>
      <w:tr w:rsidR="004D6E30" w14:paraId="34389675" w14:textId="77777777" w:rsidTr="004D6E30">
        <w:trPr>
          <w:trHeight w:val="980"/>
        </w:trPr>
        <w:tc>
          <w:tcPr>
            <w:tcW w:w="1915" w:type="dxa"/>
          </w:tcPr>
          <w:p w14:paraId="089C9EDA" w14:textId="77777777" w:rsidR="004D6E30" w:rsidRDefault="00A3456B" w:rsidP="00B051DA">
            <w:pPr>
              <w:ind w:right="90"/>
              <w:rPr>
                <w:rFonts w:ascii="Garamond" w:hAnsi="Garamond" w:cs="Courier New"/>
              </w:rPr>
            </w:pPr>
            <w:r>
              <w:rPr>
                <w:rFonts w:ascii="Garamond" w:hAnsi="Garamond" w:cs="Courier New"/>
              </w:rPr>
              <w:t>Visuals</w:t>
            </w:r>
          </w:p>
        </w:tc>
        <w:tc>
          <w:tcPr>
            <w:tcW w:w="1915" w:type="dxa"/>
          </w:tcPr>
          <w:p w14:paraId="7B86D1C8" w14:textId="77777777" w:rsidR="004D6E30" w:rsidRDefault="0041301B" w:rsidP="00B051DA">
            <w:pPr>
              <w:ind w:right="90"/>
              <w:rPr>
                <w:rFonts w:ascii="Garamond" w:hAnsi="Garamond" w:cs="Courier New"/>
              </w:rPr>
            </w:pPr>
            <w:r>
              <w:rPr>
                <w:rFonts w:ascii="Garamond" w:hAnsi="Garamond" w:cs="Courier New"/>
              </w:rPr>
              <w:t>Visuals added to the show and made the audience think- really creative</w:t>
            </w:r>
          </w:p>
        </w:tc>
        <w:tc>
          <w:tcPr>
            <w:tcW w:w="2038" w:type="dxa"/>
          </w:tcPr>
          <w:p w14:paraId="7E2AD585" w14:textId="77777777" w:rsidR="004D6E30" w:rsidRDefault="0041301B" w:rsidP="00B051DA">
            <w:pPr>
              <w:ind w:right="90"/>
              <w:rPr>
                <w:rFonts w:ascii="Garamond" w:hAnsi="Garamond" w:cs="Courier New"/>
              </w:rPr>
            </w:pPr>
            <w:r>
              <w:rPr>
                <w:rFonts w:ascii="Garamond" w:hAnsi="Garamond" w:cs="Courier New"/>
              </w:rPr>
              <w:t>Visuals were on topic, but didn’t make the audience think – slightly creative</w:t>
            </w:r>
          </w:p>
        </w:tc>
        <w:tc>
          <w:tcPr>
            <w:tcW w:w="1792" w:type="dxa"/>
          </w:tcPr>
          <w:p w14:paraId="4C4E56DC" w14:textId="77777777" w:rsidR="004D6E30" w:rsidRDefault="0041301B" w:rsidP="00B051DA">
            <w:pPr>
              <w:ind w:right="90"/>
              <w:rPr>
                <w:rFonts w:ascii="Garamond" w:hAnsi="Garamond" w:cs="Courier New"/>
              </w:rPr>
            </w:pPr>
            <w:r>
              <w:rPr>
                <w:rFonts w:ascii="Garamond" w:hAnsi="Garamond" w:cs="Courier New"/>
              </w:rPr>
              <w:t>Visuals were obvious choices and not creative</w:t>
            </w:r>
          </w:p>
        </w:tc>
        <w:tc>
          <w:tcPr>
            <w:tcW w:w="1916" w:type="dxa"/>
          </w:tcPr>
          <w:p w14:paraId="74672663" w14:textId="77777777" w:rsidR="004D6E30" w:rsidRDefault="0041301B" w:rsidP="00B051DA">
            <w:pPr>
              <w:ind w:right="90"/>
              <w:rPr>
                <w:rFonts w:ascii="Garamond" w:hAnsi="Garamond" w:cs="Courier New"/>
              </w:rPr>
            </w:pPr>
            <w:r>
              <w:rPr>
                <w:rFonts w:ascii="Garamond" w:hAnsi="Garamond" w:cs="Courier New"/>
              </w:rPr>
              <w:t>There were no visuals or only one or two visuals.</w:t>
            </w:r>
            <w:bookmarkStart w:id="0" w:name="_GoBack"/>
            <w:bookmarkEnd w:id="0"/>
          </w:p>
        </w:tc>
      </w:tr>
    </w:tbl>
    <w:p w14:paraId="79F0CEF5" w14:textId="77777777" w:rsidR="00B051DA" w:rsidRDefault="00B051DA" w:rsidP="00B051DA">
      <w:pPr>
        <w:ind w:right="90"/>
        <w:rPr>
          <w:rFonts w:ascii="Garamond" w:hAnsi="Garamond" w:cs="Courier New"/>
        </w:rPr>
      </w:pPr>
    </w:p>
    <w:p w14:paraId="26407FA5" w14:textId="77777777" w:rsidR="009200D7" w:rsidRDefault="009200D7"/>
    <w:p w14:paraId="136DB37D" w14:textId="77777777" w:rsidR="00B051DA" w:rsidRDefault="00B051DA"/>
    <w:sectPr w:rsidR="00B051DA" w:rsidSect="004130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75A5"/>
    <w:multiLevelType w:val="multilevel"/>
    <w:tmpl w:val="F71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DA"/>
    <w:rsid w:val="0041301B"/>
    <w:rsid w:val="004D6E30"/>
    <w:rsid w:val="009200D7"/>
    <w:rsid w:val="00A3456B"/>
    <w:rsid w:val="00B051DA"/>
    <w:rsid w:val="00B84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8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D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D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419</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 Laroue</dc:creator>
  <cp:lastModifiedBy>Jimmy LaRoue</cp:lastModifiedBy>
  <cp:revision>2</cp:revision>
  <dcterms:created xsi:type="dcterms:W3CDTF">2013-04-19T13:37:00Z</dcterms:created>
  <dcterms:modified xsi:type="dcterms:W3CDTF">2013-04-22T00:56:00Z</dcterms:modified>
</cp:coreProperties>
</file>